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39" w:rsidRPr="009B2539" w:rsidRDefault="0019570B" w:rsidP="009B2539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9570B">
        <w:rPr>
          <w:rFonts w:ascii="Arial" w:hAnsi="Arial" w:cs="Arial"/>
          <w:sz w:val="22"/>
          <w:szCs w:val="22"/>
        </w:rPr>
        <w:t xml:space="preserve">The </w:t>
      </w:r>
      <w:r w:rsidRPr="0019570B">
        <w:rPr>
          <w:rFonts w:ascii="Arial" w:hAnsi="Arial" w:cs="Arial"/>
          <w:i/>
          <w:sz w:val="22"/>
          <w:szCs w:val="22"/>
        </w:rPr>
        <w:t>Women on Boards</w:t>
      </w:r>
      <w:r w:rsidR="00C25753">
        <w:rPr>
          <w:rFonts w:ascii="Arial" w:hAnsi="Arial" w:cs="Arial"/>
          <w:sz w:val="22"/>
          <w:szCs w:val="22"/>
        </w:rPr>
        <w:t xml:space="preserve"> s</w:t>
      </w:r>
      <w:r w:rsidRPr="0019570B">
        <w:rPr>
          <w:rFonts w:ascii="Arial" w:hAnsi="Arial" w:cs="Arial"/>
          <w:sz w:val="22"/>
          <w:szCs w:val="22"/>
        </w:rPr>
        <w:t xml:space="preserve">trategy (the Strategy) </w:t>
      </w:r>
      <w:r w:rsidR="001D65A3">
        <w:rPr>
          <w:rFonts w:ascii="Arial" w:hAnsi="Arial" w:cs="Arial"/>
          <w:sz w:val="22"/>
          <w:szCs w:val="22"/>
        </w:rPr>
        <w:t>establishes that where possible</w:t>
      </w:r>
      <w:r w:rsidRPr="0019570B">
        <w:rPr>
          <w:rFonts w:ascii="Arial" w:hAnsi="Arial" w:cs="Arial"/>
          <w:sz w:val="22"/>
          <w:szCs w:val="22"/>
        </w:rPr>
        <w:t xml:space="preserve"> 50 per</w:t>
      </w:r>
      <w:r w:rsidR="00F80CE5">
        <w:rPr>
          <w:rFonts w:ascii="Arial" w:hAnsi="Arial" w:cs="Arial"/>
          <w:sz w:val="22"/>
          <w:szCs w:val="22"/>
        </w:rPr>
        <w:t xml:space="preserve"> </w:t>
      </w:r>
      <w:r w:rsidRPr="0019570B">
        <w:rPr>
          <w:rFonts w:ascii="Arial" w:hAnsi="Arial" w:cs="Arial"/>
          <w:sz w:val="22"/>
          <w:szCs w:val="22"/>
        </w:rPr>
        <w:t>cent of new appointees to Queensland Gove</w:t>
      </w:r>
      <w:r w:rsidR="00F378D5">
        <w:rPr>
          <w:rFonts w:ascii="Arial" w:hAnsi="Arial" w:cs="Arial"/>
          <w:sz w:val="22"/>
          <w:szCs w:val="22"/>
        </w:rPr>
        <w:t xml:space="preserve">rnment bodies should be women. </w:t>
      </w:r>
    </w:p>
    <w:p w:rsidR="009B2539" w:rsidRPr="009B2539" w:rsidRDefault="009B2539" w:rsidP="009B2539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9B2539">
        <w:rPr>
          <w:rFonts w:ascii="Arial" w:hAnsi="Arial" w:cs="Arial"/>
          <w:iCs/>
          <w:sz w:val="22"/>
          <w:szCs w:val="22"/>
        </w:rPr>
        <w:t>The Strategy aims to increase the number of female new appointees to Government boards.  Key components of the Strategy are:</w:t>
      </w:r>
    </w:p>
    <w:p w:rsidR="009B2539" w:rsidRPr="009B2539" w:rsidRDefault="009B2539" w:rsidP="001D65A3">
      <w:pPr>
        <w:numPr>
          <w:ilvl w:val="0"/>
          <w:numId w:val="26"/>
        </w:numPr>
        <w:tabs>
          <w:tab w:val="left" w:pos="-720"/>
        </w:tabs>
        <w:spacing w:before="120"/>
        <w:ind w:left="850" w:hanging="425"/>
        <w:jc w:val="both"/>
        <w:rPr>
          <w:rFonts w:ascii="Arial" w:hAnsi="Arial" w:cs="Arial"/>
          <w:iCs/>
          <w:sz w:val="22"/>
          <w:szCs w:val="22"/>
        </w:rPr>
      </w:pPr>
      <w:r w:rsidRPr="009B2539">
        <w:rPr>
          <w:rFonts w:ascii="Arial" w:hAnsi="Arial" w:cs="Arial"/>
          <w:iCs/>
          <w:sz w:val="22"/>
          <w:szCs w:val="22"/>
        </w:rPr>
        <w:t>active recruitment of women with skills that match board requirements;</w:t>
      </w:r>
    </w:p>
    <w:p w:rsidR="009B2539" w:rsidRPr="009B2539" w:rsidRDefault="009B2539" w:rsidP="001D65A3">
      <w:pPr>
        <w:numPr>
          <w:ilvl w:val="0"/>
          <w:numId w:val="26"/>
        </w:numPr>
        <w:tabs>
          <w:tab w:val="left" w:pos="-720"/>
        </w:tabs>
        <w:spacing w:before="120"/>
        <w:ind w:left="850" w:hanging="425"/>
        <w:jc w:val="both"/>
        <w:rPr>
          <w:rFonts w:ascii="Arial" w:hAnsi="Arial" w:cs="Arial"/>
          <w:iCs/>
          <w:sz w:val="22"/>
          <w:szCs w:val="22"/>
        </w:rPr>
      </w:pPr>
      <w:r w:rsidRPr="009B2539">
        <w:rPr>
          <w:rFonts w:ascii="Arial" w:hAnsi="Arial" w:cs="Arial"/>
          <w:iCs/>
          <w:sz w:val="22"/>
          <w:szCs w:val="22"/>
        </w:rPr>
        <w:t>increased Ministerial and Executive leadership;</w:t>
      </w:r>
    </w:p>
    <w:p w:rsidR="009B2539" w:rsidRPr="009B2539" w:rsidRDefault="009B2539" w:rsidP="001D65A3">
      <w:pPr>
        <w:numPr>
          <w:ilvl w:val="0"/>
          <w:numId w:val="26"/>
        </w:numPr>
        <w:tabs>
          <w:tab w:val="left" w:pos="-720"/>
        </w:tabs>
        <w:spacing w:before="120"/>
        <w:ind w:left="850" w:hanging="425"/>
        <w:jc w:val="both"/>
        <w:rPr>
          <w:rFonts w:ascii="Arial" w:hAnsi="Arial" w:cs="Arial"/>
          <w:iCs/>
          <w:sz w:val="22"/>
          <w:szCs w:val="22"/>
        </w:rPr>
      </w:pPr>
      <w:r w:rsidRPr="009B2539">
        <w:rPr>
          <w:rFonts w:ascii="Arial" w:hAnsi="Arial" w:cs="Arial"/>
          <w:iCs/>
          <w:sz w:val="22"/>
          <w:szCs w:val="22"/>
        </w:rPr>
        <w:t xml:space="preserve">amendment of the Cabinet Handbook to require departments to demonstrate gender equity measures in Significant Appointment processes; </w:t>
      </w:r>
    </w:p>
    <w:p w:rsidR="009B2539" w:rsidRDefault="009B2539" w:rsidP="001D65A3">
      <w:pPr>
        <w:numPr>
          <w:ilvl w:val="0"/>
          <w:numId w:val="26"/>
        </w:numPr>
        <w:tabs>
          <w:tab w:val="left" w:pos="-720"/>
        </w:tabs>
        <w:spacing w:before="120"/>
        <w:ind w:left="850" w:hanging="425"/>
        <w:jc w:val="both"/>
        <w:rPr>
          <w:rFonts w:ascii="Arial" w:hAnsi="Arial" w:cs="Arial"/>
          <w:iCs/>
          <w:sz w:val="22"/>
          <w:szCs w:val="22"/>
        </w:rPr>
      </w:pPr>
      <w:r w:rsidRPr="009B2539">
        <w:rPr>
          <w:rFonts w:ascii="Arial" w:hAnsi="Arial" w:cs="Arial"/>
          <w:iCs/>
          <w:sz w:val="22"/>
          <w:szCs w:val="22"/>
        </w:rPr>
        <w:t>improved agency awareness and use of the ‘Queensland Register of Nominees to Queensland Government bodies’; and</w:t>
      </w:r>
    </w:p>
    <w:p w:rsidR="009B2539" w:rsidRPr="009B2539" w:rsidRDefault="009B2539" w:rsidP="001D65A3">
      <w:pPr>
        <w:numPr>
          <w:ilvl w:val="0"/>
          <w:numId w:val="26"/>
        </w:numPr>
        <w:tabs>
          <w:tab w:val="left" w:pos="-720"/>
        </w:tabs>
        <w:spacing w:before="120"/>
        <w:ind w:left="850" w:hanging="425"/>
        <w:jc w:val="both"/>
        <w:rPr>
          <w:rFonts w:ascii="Arial" w:hAnsi="Arial" w:cs="Arial"/>
          <w:iCs/>
          <w:sz w:val="22"/>
          <w:szCs w:val="22"/>
        </w:rPr>
      </w:pPr>
      <w:r w:rsidRPr="009B2539">
        <w:rPr>
          <w:rFonts w:ascii="Arial" w:hAnsi="Arial" w:cs="Arial"/>
          <w:iCs/>
          <w:sz w:val="22"/>
          <w:szCs w:val="22"/>
        </w:rPr>
        <w:t>identifying necessary board skills and building women’s capabilities to nominate and successfully compete for board appointments.</w:t>
      </w:r>
    </w:p>
    <w:p w:rsidR="00491CD4" w:rsidRPr="009B2539" w:rsidRDefault="00491CD4" w:rsidP="009B2539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9B2539">
        <w:rPr>
          <w:rFonts w:ascii="Arial" w:hAnsi="Arial" w:cs="Arial"/>
          <w:sz w:val="22"/>
          <w:szCs w:val="22"/>
        </w:rPr>
        <w:t xml:space="preserve">At the commencement of the </w:t>
      </w:r>
      <w:r w:rsidR="00F378D5" w:rsidRPr="009B2539">
        <w:rPr>
          <w:rFonts w:ascii="Arial" w:hAnsi="Arial" w:cs="Arial"/>
          <w:sz w:val="22"/>
          <w:szCs w:val="22"/>
        </w:rPr>
        <w:t>Strategy, approximately 33.6 per</w:t>
      </w:r>
      <w:r w:rsidR="00F80CE5">
        <w:rPr>
          <w:rFonts w:ascii="Arial" w:hAnsi="Arial" w:cs="Arial"/>
          <w:sz w:val="22"/>
          <w:szCs w:val="22"/>
        </w:rPr>
        <w:t xml:space="preserve"> </w:t>
      </w:r>
      <w:r w:rsidRPr="009B2539">
        <w:rPr>
          <w:rFonts w:ascii="Arial" w:hAnsi="Arial" w:cs="Arial"/>
          <w:sz w:val="22"/>
          <w:szCs w:val="22"/>
        </w:rPr>
        <w:t>cent of all government body members were female. Following the introduction of the Strategy there has been an improvement in the overall percentage of women on bodies, with wom</w:t>
      </w:r>
      <w:r w:rsidR="00C25753" w:rsidRPr="009B2539">
        <w:rPr>
          <w:rFonts w:ascii="Arial" w:hAnsi="Arial" w:cs="Arial"/>
          <w:sz w:val="22"/>
          <w:szCs w:val="22"/>
        </w:rPr>
        <w:t>en comprising an estimated 36.9</w:t>
      </w:r>
      <w:r w:rsidR="00F378D5" w:rsidRPr="009B2539">
        <w:rPr>
          <w:rFonts w:ascii="Arial" w:hAnsi="Arial" w:cs="Arial"/>
          <w:sz w:val="22"/>
          <w:szCs w:val="22"/>
        </w:rPr>
        <w:t xml:space="preserve"> per</w:t>
      </w:r>
      <w:r w:rsidR="00F80CE5">
        <w:rPr>
          <w:rFonts w:ascii="Arial" w:hAnsi="Arial" w:cs="Arial"/>
          <w:sz w:val="22"/>
          <w:szCs w:val="22"/>
        </w:rPr>
        <w:t xml:space="preserve"> </w:t>
      </w:r>
      <w:r w:rsidRPr="009B2539">
        <w:rPr>
          <w:rFonts w:ascii="Arial" w:hAnsi="Arial" w:cs="Arial"/>
          <w:sz w:val="22"/>
          <w:szCs w:val="22"/>
        </w:rPr>
        <w:t xml:space="preserve">cent of all </w:t>
      </w:r>
      <w:r w:rsidR="00EA3F97" w:rsidRPr="009B2539">
        <w:rPr>
          <w:rFonts w:ascii="Arial" w:hAnsi="Arial" w:cs="Arial"/>
          <w:sz w:val="22"/>
          <w:szCs w:val="22"/>
        </w:rPr>
        <w:t>G</w:t>
      </w:r>
      <w:r w:rsidRPr="009B2539">
        <w:rPr>
          <w:rFonts w:ascii="Arial" w:hAnsi="Arial" w:cs="Arial"/>
          <w:sz w:val="22"/>
          <w:szCs w:val="22"/>
        </w:rPr>
        <w:t xml:space="preserve">overnment body members, as at 9 November 2010.  In </w:t>
      </w:r>
      <w:r w:rsidR="00C25753" w:rsidRPr="009B2539">
        <w:rPr>
          <w:rFonts w:ascii="Arial" w:hAnsi="Arial" w:cs="Arial"/>
          <w:sz w:val="22"/>
          <w:szCs w:val="22"/>
        </w:rPr>
        <w:t>the third quarter of 2010, 39.7</w:t>
      </w:r>
      <w:r w:rsidR="00F378D5" w:rsidRPr="009B2539">
        <w:rPr>
          <w:rFonts w:ascii="Arial" w:hAnsi="Arial" w:cs="Arial"/>
          <w:sz w:val="22"/>
          <w:szCs w:val="22"/>
        </w:rPr>
        <w:t xml:space="preserve"> per</w:t>
      </w:r>
      <w:r w:rsidR="00F80CE5">
        <w:rPr>
          <w:rFonts w:ascii="Arial" w:hAnsi="Arial" w:cs="Arial"/>
          <w:sz w:val="22"/>
          <w:szCs w:val="22"/>
        </w:rPr>
        <w:t xml:space="preserve"> </w:t>
      </w:r>
      <w:r w:rsidRPr="009B2539">
        <w:rPr>
          <w:rFonts w:ascii="Arial" w:hAnsi="Arial" w:cs="Arial"/>
          <w:sz w:val="22"/>
          <w:szCs w:val="22"/>
        </w:rPr>
        <w:t>cent of new appointments to government bodies were women.</w:t>
      </w:r>
    </w:p>
    <w:p w:rsidR="009B2539" w:rsidRPr="009B2539" w:rsidRDefault="00870321" w:rsidP="0079002A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0E225A">
        <w:rPr>
          <w:rFonts w:ascii="Arial" w:hAnsi="Arial" w:cs="Arial"/>
          <w:sz w:val="22"/>
          <w:szCs w:val="22"/>
          <w:u w:val="single"/>
        </w:rPr>
        <w:t>noted</w:t>
      </w:r>
      <w:r w:rsidR="009B2539" w:rsidRPr="001D65A3">
        <w:rPr>
          <w:rFonts w:ascii="Arial" w:hAnsi="Arial" w:cs="Arial"/>
          <w:sz w:val="22"/>
          <w:szCs w:val="22"/>
        </w:rPr>
        <w:t xml:space="preserve"> </w:t>
      </w:r>
      <w:r w:rsidR="001D65A3">
        <w:rPr>
          <w:rFonts w:ascii="Arial" w:hAnsi="Arial" w:cs="Arial"/>
          <w:sz w:val="22"/>
          <w:szCs w:val="22"/>
        </w:rPr>
        <w:t>that the Cabinet Handbook had</w:t>
      </w:r>
      <w:r w:rsidR="009B2539" w:rsidRPr="007339D3">
        <w:rPr>
          <w:rFonts w:ascii="Arial" w:hAnsi="Arial" w:cs="Arial"/>
          <w:sz w:val="22"/>
          <w:szCs w:val="22"/>
        </w:rPr>
        <w:t xml:space="preserve"> been amended to identify that the Office for Women </w:t>
      </w:r>
      <w:r w:rsidR="009B2539" w:rsidRPr="007339D3">
        <w:rPr>
          <w:rFonts w:ascii="Arial" w:hAnsi="Arial" w:cs="Arial"/>
          <w:iCs/>
          <w:sz w:val="22"/>
          <w:szCs w:val="22"/>
        </w:rPr>
        <w:t>can work with agencies to proactively identify opportunities for the appointment of women to government bodies</w:t>
      </w:r>
      <w:r w:rsidR="009B2539">
        <w:rPr>
          <w:rFonts w:ascii="Arial" w:hAnsi="Arial" w:cs="Arial"/>
          <w:iCs/>
          <w:sz w:val="22"/>
          <w:szCs w:val="22"/>
        </w:rPr>
        <w:t>.</w:t>
      </w:r>
    </w:p>
    <w:p w:rsidR="009B2539" w:rsidRPr="009B2539" w:rsidRDefault="009B2539" w:rsidP="001D65A3">
      <w:pPr>
        <w:numPr>
          <w:ilvl w:val="0"/>
          <w:numId w:val="20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Attachments:</w:t>
      </w:r>
    </w:p>
    <w:p w:rsidR="005A75A8" w:rsidRPr="001D65A3" w:rsidRDefault="009B2539" w:rsidP="009B2539">
      <w:pPr>
        <w:numPr>
          <w:ilvl w:val="0"/>
          <w:numId w:val="25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1D65A3">
        <w:rPr>
          <w:rFonts w:ascii="Arial" w:hAnsi="Arial" w:cs="Arial"/>
          <w:sz w:val="22"/>
          <w:szCs w:val="22"/>
        </w:rPr>
        <w:t>Nil</w:t>
      </w:r>
      <w:r w:rsidR="001D65A3">
        <w:rPr>
          <w:rFonts w:ascii="Arial" w:hAnsi="Arial" w:cs="Arial"/>
          <w:sz w:val="22"/>
          <w:szCs w:val="22"/>
        </w:rPr>
        <w:t>.</w:t>
      </w:r>
      <w:r w:rsidR="000E225A" w:rsidRPr="001D65A3">
        <w:rPr>
          <w:rFonts w:ascii="Arial" w:hAnsi="Arial" w:cs="Arial"/>
          <w:sz w:val="22"/>
          <w:szCs w:val="22"/>
        </w:rPr>
        <w:t xml:space="preserve"> </w:t>
      </w:r>
    </w:p>
    <w:p w:rsidR="00870321" w:rsidRPr="00C07656" w:rsidRDefault="00870321" w:rsidP="009B2539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870321" w:rsidRPr="00C07656" w:rsidSect="00745F4C">
      <w:headerReference w:type="default" r:id="rId7"/>
      <w:footerReference w:type="default" r:id="rId8"/>
      <w:headerReference w:type="first" r:id="rId9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53" w:rsidRDefault="00C23953">
      <w:r>
        <w:separator/>
      </w:r>
    </w:p>
  </w:endnote>
  <w:endnote w:type="continuationSeparator" w:id="0">
    <w:p w:rsidR="00C23953" w:rsidRDefault="00C2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539" w:rsidRPr="001141E1" w:rsidRDefault="009B2539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53" w:rsidRDefault="00C23953">
      <w:r>
        <w:separator/>
      </w:r>
    </w:p>
  </w:footnote>
  <w:footnote w:type="continuationSeparator" w:id="0">
    <w:p w:rsidR="00C23953" w:rsidRDefault="00C23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539" w:rsidRPr="000400F9" w:rsidRDefault="00EC43CF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53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9B2539">
      <w:rPr>
        <w:rFonts w:ascii="Arial" w:hAnsi="Arial" w:cs="Arial"/>
        <w:b/>
        <w:sz w:val="22"/>
        <w:szCs w:val="22"/>
        <w:u w:val="single"/>
      </w:rPr>
      <w:t>month year</w:t>
    </w:r>
  </w:p>
  <w:p w:rsidR="009B2539" w:rsidRDefault="009B2539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9B2539" w:rsidRDefault="009B2539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9B2539" w:rsidRPr="00F10DF9" w:rsidRDefault="009B2539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539" w:rsidRPr="000400F9" w:rsidRDefault="00EC43CF" w:rsidP="0087032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4" name="Picture 4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53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9B2539">
      <w:rPr>
        <w:rFonts w:ascii="Arial" w:hAnsi="Arial" w:cs="Arial"/>
        <w:b/>
        <w:sz w:val="22"/>
        <w:szCs w:val="22"/>
        <w:u w:val="single"/>
      </w:rPr>
      <w:t>November 2010</w:t>
    </w:r>
  </w:p>
  <w:p w:rsidR="009B2539" w:rsidRPr="003A01DA" w:rsidRDefault="009B2539" w:rsidP="00870321">
    <w:pPr>
      <w:pStyle w:val="Header"/>
      <w:spacing w:before="120"/>
      <w:rPr>
        <w:rFonts w:ascii="Arial" w:hAnsi="Arial" w:cs="Arial"/>
        <w:b/>
        <w:i/>
        <w:sz w:val="22"/>
        <w:szCs w:val="22"/>
        <w:u w:val="single"/>
      </w:rPr>
    </w:pPr>
    <w:r w:rsidRPr="00687938">
      <w:rPr>
        <w:rFonts w:ascii="Arial" w:hAnsi="Arial" w:cs="Arial"/>
        <w:b/>
        <w:sz w:val="22"/>
        <w:szCs w:val="22"/>
        <w:u w:val="single"/>
      </w:rPr>
      <w:t>Women on Boards</w:t>
    </w:r>
    <w:r>
      <w:rPr>
        <w:rFonts w:ascii="Arial" w:hAnsi="Arial" w:cs="Arial"/>
        <w:b/>
        <w:i/>
        <w:sz w:val="22"/>
        <w:szCs w:val="22"/>
        <w:u w:val="single"/>
      </w:rPr>
      <w:t xml:space="preserve"> </w:t>
    </w:r>
    <w:r w:rsidRPr="003A01DA">
      <w:rPr>
        <w:rFonts w:ascii="Arial" w:hAnsi="Arial" w:cs="Arial"/>
        <w:b/>
        <w:sz w:val="22"/>
        <w:szCs w:val="22"/>
        <w:u w:val="single"/>
      </w:rPr>
      <w:t>– Progress and Future Directions</w:t>
    </w:r>
  </w:p>
  <w:p w:rsidR="009B2539" w:rsidRDefault="009B2539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Community Services and Housing and Minister for Women</w:t>
    </w:r>
  </w:p>
  <w:p w:rsidR="009B2539" w:rsidRPr="00F10DF9" w:rsidRDefault="009B2539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A2001DE"/>
    <w:multiLevelType w:val="hybridMultilevel"/>
    <w:tmpl w:val="B582BC38"/>
    <w:lvl w:ilvl="0" w:tplc="4C909B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4" w15:restartNumberingAfterBreak="0">
    <w:nsid w:val="5A705510"/>
    <w:multiLevelType w:val="hybridMultilevel"/>
    <w:tmpl w:val="3ECC735C"/>
    <w:lvl w:ilvl="0" w:tplc="954E6E54">
      <w:start w:val="1"/>
      <w:numFmt w:val="bullet"/>
      <w:pStyle w:val="CABSUBdotpt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0AB283D"/>
    <w:multiLevelType w:val="hybridMultilevel"/>
    <w:tmpl w:val="81F06D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477F7C"/>
    <w:multiLevelType w:val="hybridMultilevel"/>
    <w:tmpl w:val="6082F6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0"/>
  </w:num>
  <w:num w:numId="4">
    <w:abstractNumId w:val="13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5"/>
  </w:num>
  <w:num w:numId="13">
    <w:abstractNumId w:val="19"/>
  </w:num>
  <w:num w:numId="14">
    <w:abstractNumId w:val="5"/>
  </w:num>
  <w:num w:numId="15">
    <w:abstractNumId w:val="4"/>
  </w:num>
  <w:num w:numId="16">
    <w:abstractNumId w:val="12"/>
  </w:num>
  <w:num w:numId="17">
    <w:abstractNumId w:val="16"/>
  </w:num>
  <w:num w:numId="18">
    <w:abstractNumId w:val="18"/>
  </w:num>
  <w:num w:numId="19">
    <w:abstractNumId w:val="9"/>
  </w:num>
  <w:num w:numId="20">
    <w:abstractNumId w:val="23"/>
  </w:num>
  <w:num w:numId="21">
    <w:abstractNumId w:val="21"/>
  </w:num>
  <w:num w:numId="22">
    <w:abstractNumId w:val="14"/>
  </w:num>
  <w:num w:numId="23">
    <w:abstractNumId w:val="22"/>
  </w:num>
  <w:num w:numId="24">
    <w:abstractNumId w:val="11"/>
  </w:num>
  <w:num w:numId="25">
    <w:abstractNumId w:val="17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14"/>
    <w:rsid w:val="00021188"/>
    <w:rsid w:val="000279BA"/>
    <w:rsid w:val="00054075"/>
    <w:rsid w:val="00054873"/>
    <w:rsid w:val="00070A40"/>
    <w:rsid w:val="00090812"/>
    <w:rsid w:val="0009634A"/>
    <w:rsid w:val="000A1D7D"/>
    <w:rsid w:val="000A2BAC"/>
    <w:rsid w:val="000A6E5D"/>
    <w:rsid w:val="000C15F5"/>
    <w:rsid w:val="000C2437"/>
    <w:rsid w:val="000D05D6"/>
    <w:rsid w:val="000E225A"/>
    <w:rsid w:val="000E3F6A"/>
    <w:rsid w:val="000F4AA7"/>
    <w:rsid w:val="001227DD"/>
    <w:rsid w:val="00124FE2"/>
    <w:rsid w:val="00126CC9"/>
    <w:rsid w:val="0014649D"/>
    <w:rsid w:val="0015685D"/>
    <w:rsid w:val="00156C19"/>
    <w:rsid w:val="00174B53"/>
    <w:rsid w:val="0017782F"/>
    <w:rsid w:val="00177E94"/>
    <w:rsid w:val="00182E54"/>
    <w:rsid w:val="0019570B"/>
    <w:rsid w:val="001A7754"/>
    <w:rsid w:val="001B5837"/>
    <w:rsid w:val="001C350C"/>
    <w:rsid w:val="001D65A3"/>
    <w:rsid w:val="001E5583"/>
    <w:rsid w:val="001E6C9A"/>
    <w:rsid w:val="00216296"/>
    <w:rsid w:val="00240160"/>
    <w:rsid w:val="00242B09"/>
    <w:rsid w:val="002662BD"/>
    <w:rsid w:val="00272544"/>
    <w:rsid w:val="00273B58"/>
    <w:rsid w:val="002A6FC7"/>
    <w:rsid w:val="002A7348"/>
    <w:rsid w:val="002E58D6"/>
    <w:rsid w:val="002E5AA0"/>
    <w:rsid w:val="002F7590"/>
    <w:rsid w:val="003024B9"/>
    <w:rsid w:val="00330878"/>
    <w:rsid w:val="003318BD"/>
    <w:rsid w:val="0033391A"/>
    <w:rsid w:val="00340EF2"/>
    <w:rsid w:val="00355608"/>
    <w:rsid w:val="003737C1"/>
    <w:rsid w:val="00391750"/>
    <w:rsid w:val="003927E5"/>
    <w:rsid w:val="003A01DA"/>
    <w:rsid w:val="003C1CF6"/>
    <w:rsid w:val="003C5050"/>
    <w:rsid w:val="003C71CD"/>
    <w:rsid w:val="003D2408"/>
    <w:rsid w:val="003D317A"/>
    <w:rsid w:val="003D6FF4"/>
    <w:rsid w:val="003E2D89"/>
    <w:rsid w:val="00412A34"/>
    <w:rsid w:val="004149B9"/>
    <w:rsid w:val="00444DCF"/>
    <w:rsid w:val="004511CA"/>
    <w:rsid w:val="00453090"/>
    <w:rsid w:val="00464036"/>
    <w:rsid w:val="00476361"/>
    <w:rsid w:val="00490C46"/>
    <w:rsid w:val="00491CD4"/>
    <w:rsid w:val="004A7AEF"/>
    <w:rsid w:val="004C64FC"/>
    <w:rsid w:val="004C65A5"/>
    <w:rsid w:val="004D7050"/>
    <w:rsid w:val="004E3BC5"/>
    <w:rsid w:val="00526208"/>
    <w:rsid w:val="00527730"/>
    <w:rsid w:val="0053165D"/>
    <w:rsid w:val="0053631E"/>
    <w:rsid w:val="005425AB"/>
    <w:rsid w:val="005577AB"/>
    <w:rsid w:val="005900A5"/>
    <w:rsid w:val="005A75A8"/>
    <w:rsid w:val="005C08AE"/>
    <w:rsid w:val="005D0C09"/>
    <w:rsid w:val="005D5BB9"/>
    <w:rsid w:val="005E7616"/>
    <w:rsid w:val="0061460C"/>
    <w:rsid w:val="006149BB"/>
    <w:rsid w:val="0061677A"/>
    <w:rsid w:val="006358FF"/>
    <w:rsid w:val="0064268C"/>
    <w:rsid w:val="00656393"/>
    <w:rsid w:val="0066421E"/>
    <w:rsid w:val="00667828"/>
    <w:rsid w:val="0067667D"/>
    <w:rsid w:val="00687938"/>
    <w:rsid w:val="006A24E9"/>
    <w:rsid w:val="006D46DD"/>
    <w:rsid w:val="006D7033"/>
    <w:rsid w:val="006E25A6"/>
    <w:rsid w:val="007339D3"/>
    <w:rsid w:val="00742804"/>
    <w:rsid w:val="00745F47"/>
    <w:rsid w:val="00745F4C"/>
    <w:rsid w:val="007533C8"/>
    <w:rsid w:val="007653EB"/>
    <w:rsid w:val="00782539"/>
    <w:rsid w:val="0079002A"/>
    <w:rsid w:val="0079498D"/>
    <w:rsid w:val="007B6771"/>
    <w:rsid w:val="007C5B4B"/>
    <w:rsid w:val="007D06FC"/>
    <w:rsid w:val="007D5192"/>
    <w:rsid w:val="007F46E4"/>
    <w:rsid w:val="007F6B72"/>
    <w:rsid w:val="00832489"/>
    <w:rsid w:val="00834946"/>
    <w:rsid w:val="00862C15"/>
    <w:rsid w:val="00867427"/>
    <w:rsid w:val="00870321"/>
    <w:rsid w:val="00881B50"/>
    <w:rsid w:val="008A3F6F"/>
    <w:rsid w:val="008C67D3"/>
    <w:rsid w:val="00900F05"/>
    <w:rsid w:val="0090137E"/>
    <w:rsid w:val="0090282F"/>
    <w:rsid w:val="00910375"/>
    <w:rsid w:val="00911F6B"/>
    <w:rsid w:val="00916188"/>
    <w:rsid w:val="009175A7"/>
    <w:rsid w:val="00934403"/>
    <w:rsid w:val="0094685D"/>
    <w:rsid w:val="009519BB"/>
    <w:rsid w:val="009551A2"/>
    <w:rsid w:val="009566B7"/>
    <w:rsid w:val="00962F22"/>
    <w:rsid w:val="00963B34"/>
    <w:rsid w:val="009A29F8"/>
    <w:rsid w:val="009B2539"/>
    <w:rsid w:val="009E4DC1"/>
    <w:rsid w:val="009F2656"/>
    <w:rsid w:val="009F4298"/>
    <w:rsid w:val="00A01999"/>
    <w:rsid w:val="00A159BA"/>
    <w:rsid w:val="00A17ED0"/>
    <w:rsid w:val="00A21466"/>
    <w:rsid w:val="00A2425A"/>
    <w:rsid w:val="00A250C4"/>
    <w:rsid w:val="00A26E62"/>
    <w:rsid w:val="00A33DB2"/>
    <w:rsid w:val="00A36A14"/>
    <w:rsid w:val="00A41443"/>
    <w:rsid w:val="00A45816"/>
    <w:rsid w:val="00A5007A"/>
    <w:rsid w:val="00A63D34"/>
    <w:rsid w:val="00AB5421"/>
    <w:rsid w:val="00AB6F21"/>
    <w:rsid w:val="00AD6552"/>
    <w:rsid w:val="00AE0704"/>
    <w:rsid w:val="00AF610D"/>
    <w:rsid w:val="00B0525E"/>
    <w:rsid w:val="00B27B23"/>
    <w:rsid w:val="00B97FB4"/>
    <w:rsid w:val="00BB1AFC"/>
    <w:rsid w:val="00BB2083"/>
    <w:rsid w:val="00BD5C1A"/>
    <w:rsid w:val="00BE346E"/>
    <w:rsid w:val="00BF35DF"/>
    <w:rsid w:val="00BF46CA"/>
    <w:rsid w:val="00C16E01"/>
    <w:rsid w:val="00C17E3B"/>
    <w:rsid w:val="00C23953"/>
    <w:rsid w:val="00C25753"/>
    <w:rsid w:val="00C30A86"/>
    <w:rsid w:val="00C31326"/>
    <w:rsid w:val="00C332CA"/>
    <w:rsid w:val="00C44A05"/>
    <w:rsid w:val="00C73F58"/>
    <w:rsid w:val="00C74F1A"/>
    <w:rsid w:val="00C76765"/>
    <w:rsid w:val="00C80128"/>
    <w:rsid w:val="00C94C0D"/>
    <w:rsid w:val="00CA09CF"/>
    <w:rsid w:val="00CB44E7"/>
    <w:rsid w:val="00CC0A18"/>
    <w:rsid w:val="00CF5CD1"/>
    <w:rsid w:val="00D740A8"/>
    <w:rsid w:val="00D82051"/>
    <w:rsid w:val="00D84B5E"/>
    <w:rsid w:val="00D905DA"/>
    <w:rsid w:val="00D96412"/>
    <w:rsid w:val="00D9723B"/>
    <w:rsid w:val="00DA6C5D"/>
    <w:rsid w:val="00DD1780"/>
    <w:rsid w:val="00DD7C04"/>
    <w:rsid w:val="00DE2451"/>
    <w:rsid w:val="00DE73D5"/>
    <w:rsid w:val="00DF08D6"/>
    <w:rsid w:val="00DF2E2C"/>
    <w:rsid w:val="00DF69A7"/>
    <w:rsid w:val="00E129B6"/>
    <w:rsid w:val="00E34542"/>
    <w:rsid w:val="00E464DD"/>
    <w:rsid w:val="00E539DE"/>
    <w:rsid w:val="00E60204"/>
    <w:rsid w:val="00E814F1"/>
    <w:rsid w:val="00E84E0F"/>
    <w:rsid w:val="00EA3F97"/>
    <w:rsid w:val="00EB074A"/>
    <w:rsid w:val="00EC026F"/>
    <w:rsid w:val="00EC0396"/>
    <w:rsid w:val="00EC43CF"/>
    <w:rsid w:val="00ED29FB"/>
    <w:rsid w:val="00EE23E9"/>
    <w:rsid w:val="00EE25B4"/>
    <w:rsid w:val="00F023B9"/>
    <w:rsid w:val="00F04337"/>
    <w:rsid w:val="00F062A5"/>
    <w:rsid w:val="00F378D5"/>
    <w:rsid w:val="00F46BF4"/>
    <w:rsid w:val="00F515D3"/>
    <w:rsid w:val="00F561A5"/>
    <w:rsid w:val="00F659CC"/>
    <w:rsid w:val="00F679C1"/>
    <w:rsid w:val="00F75FF4"/>
    <w:rsid w:val="00F80CE5"/>
    <w:rsid w:val="00F822D6"/>
    <w:rsid w:val="00F84EFB"/>
    <w:rsid w:val="00F93C82"/>
    <w:rsid w:val="00FA33B7"/>
    <w:rsid w:val="00FB34E3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paragraph" w:customStyle="1" w:styleId="CABSUBdotptbody">
    <w:name w:val="CABSUB dot pt body"/>
    <w:basedOn w:val="Normal"/>
    <w:rsid w:val="00A21466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ESD\MESB\CLLO\Templates\Cabinet%20Submission%20Templates\New%20templates\Information%20Submission%20Annotated%20Template%20v3%20Jun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Information Submission Annotated Template v3 Jun10.dot</Template>
  <TotalTime>0</TotalTime>
  <Pages>1</Pages>
  <Words>218</Words>
  <Characters>1230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1448</CharactersWithSpaces>
  <SharedDoc>false</SharedDoc>
  <HyperlinkBase>https://www.cabinet.qld.gov.au/documents/2010/Nov/Women on Boards/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2011-05-13T00:38:00Z</cp:lastPrinted>
  <dcterms:created xsi:type="dcterms:W3CDTF">2017-10-24T22:21:00Z</dcterms:created>
  <dcterms:modified xsi:type="dcterms:W3CDTF">2018-03-06T01:05:00Z</dcterms:modified>
  <cp:category>Boards</cp:category>
</cp:coreProperties>
</file>